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  <w:r>
        <w:rPr>
          <w:rFonts w:eastAsia="方正黑体_GBK" w:hint="eastAsia"/>
        </w:rPr>
        <w:t>附件</w:t>
      </w:r>
      <w:r>
        <w:rPr>
          <w:rFonts w:eastAsia="方正黑体_GBK" w:hint="eastAsia"/>
        </w:rPr>
        <w:t>4</w:t>
      </w:r>
    </w:p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p w:rsidR="006E1793" w:rsidRPr="005E7AE5" w:rsidRDefault="006E1793" w:rsidP="006E1793">
      <w:pPr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5E7AE5">
        <w:rPr>
          <w:rFonts w:ascii="方正小标宋_GBK" w:eastAsia="方正小标宋_GBK" w:hint="eastAsia"/>
          <w:sz w:val="44"/>
          <w:szCs w:val="44"/>
        </w:rPr>
        <w:t>13个先进制造业集群发展的重点方向和领域</w:t>
      </w:r>
    </w:p>
    <w:bookmarkEnd w:id="0"/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tbl>
      <w:tblPr>
        <w:tblW w:w="8874" w:type="dxa"/>
        <w:jc w:val="center"/>
        <w:tblInd w:w="-161" w:type="dxa"/>
        <w:tblLook w:val="04A0" w:firstRow="1" w:lastRow="0" w:firstColumn="1" w:lastColumn="0" w:noHBand="0" w:noVBand="1"/>
      </w:tblPr>
      <w:tblGrid>
        <w:gridCol w:w="866"/>
        <w:gridCol w:w="2947"/>
        <w:gridCol w:w="5061"/>
      </w:tblGrid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集群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重点方向和领域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新型电力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(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新能源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)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光伏发电、风电发电、新型电力装备等。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工程机械关键技术及产品、高端零部件。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物联网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感知、传输、信息处理和软件与应用集成，重点领域应用。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高端纺织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纺织纤维新材料、先进纺织加工技术、高性能产业用纺织品、高端纺织机械、品牌服装家纺等。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前沿新材料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石墨烯、碳纤维和纳米材料。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生物医药和新型医疗器械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生物药、化学药、现代中药和新型医疗器械。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集成电路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包括集成电路设计、制造、</w:t>
            </w: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封测以及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关键装备和材料。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海工装备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和高技术船舶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海洋工程装备、高技术船舶以及船舶配套。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机器人</w:t>
            </w: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及增材制造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装备、数控加工装备、轨道交通装备以及航空航天装备。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节能环保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节能技术装备、环保技术装备和资源循环利用技术装备。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核心信息技术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高端软件、新一代软件和人工智能。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汽车及零部件（含新能源汽车）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新能源汽车、智能网联汽车和节能汽车。</w:t>
            </w:r>
          </w:p>
        </w:tc>
      </w:tr>
      <w:tr w:rsidR="006E1793" w:rsidRPr="007E23A3" w:rsidTr="00067544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新型显示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793" w:rsidRPr="00C20194" w:rsidRDefault="006E1793" w:rsidP="00067544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新一代显示技术、印刷显示技术、先进背板技术等。</w:t>
            </w:r>
          </w:p>
        </w:tc>
      </w:tr>
    </w:tbl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p w:rsidR="006E1793" w:rsidRDefault="006E1793" w:rsidP="006E1793">
      <w:pPr>
        <w:wordWrap w:val="0"/>
        <w:ind w:right="776" w:firstLine="0"/>
        <w:rPr>
          <w:rFonts w:eastAsia="方正黑体_GBK" w:hint="eastAsia"/>
        </w:rPr>
      </w:pPr>
    </w:p>
    <w:p w:rsidR="00B426CD" w:rsidRPr="006E1793" w:rsidRDefault="00B426CD"/>
    <w:sectPr w:rsidR="00B426CD" w:rsidRPr="006E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50" w:rsidRDefault="00827A50" w:rsidP="006E1793">
      <w:pPr>
        <w:spacing w:line="240" w:lineRule="auto"/>
      </w:pPr>
      <w:r>
        <w:separator/>
      </w:r>
    </w:p>
  </w:endnote>
  <w:endnote w:type="continuationSeparator" w:id="0">
    <w:p w:rsidR="00827A50" w:rsidRDefault="00827A50" w:rsidP="006E1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50" w:rsidRDefault="00827A50" w:rsidP="006E1793">
      <w:pPr>
        <w:spacing w:line="240" w:lineRule="auto"/>
      </w:pPr>
      <w:r>
        <w:separator/>
      </w:r>
    </w:p>
  </w:footnote>
  <w:footnote w:type="continuationSeparator" w:id="0">
    <w:p w:rsidR="00827A50" w:rsidRDefault="00827A50" w:rsidP="006E17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7B"/>
    <w:rsid w:val="006E1793"/>
    <w:rsid w:val="007D7A7B"/>
    <w:rsid w:val="00827A50"/>
    <w:rsid w:val="00B4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9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79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7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79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7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9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79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7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79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7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2019-04-29T01:50:00Z</dcterms:created>
  <dcterms:modified xsi:type="dcterms:W3CDTF">2019-04-29T01:50:00Z</dcterms:modified>
</cp:coreProperties>
</file>